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0"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托克逊县人力资源和社会保障局2024年单位预算公开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一、关于托克逊县人力资源和社会保障局单位2024年收支预算情况的总体说明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二、关于托克逊县人力资源和社会保障局单位2024年收入预算情况说明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三、关于托克逊县人力资源和社会保障局单位2024年支出预算情况说明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四、关于托克逊县人力资源和社会保障局单位2024年财政拨款收支预算情况的总体说明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五、关于托克逊县人力资源和社会保障局单位2024年一般公共预算当年拨款情况说明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六、关于托克逊县人力资源和社会保障局单位2024年一般公共预算基本支出情况说明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七、关于托克逊县人力资源和社会保障局单位2024年一般公共预算项目支出情况说明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八、关于托克逊县人力资源和社会保障局单位2024年政府性基金预算拨款情况说明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九、关于托克逊县人力资源和社会保障局单位2024年国有资本经营预算拨款情况说明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十、关于托克逊县人力资源和社会保障局单位2024年财政拨款“三公”经费预算情况说明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十一、关于托克逊县人力资源和社会保障局单位2024年上年结转结余预算情况说明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（一）贯彻执行国家、自治区、吐鲁番市人力资源和社会保障事业发展规划、政策；制定人力资源和社会保障事业发展规划和年度计划，并组织实施和监督检查。</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（二）拟订并组织实施全县人力资源市场发展规划和人力资源流动管理办法，指导监督人力资源服务机构，促进人力资源合理流动、有效配置。</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（五）负责就业、失业、社会保险基金预测预警和信息引导；拟订应对预案，实施预防、调节和控制，保持就业形势稳定和社会保险基金总体收支平衡。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七）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（八）会同有关部门拟订表彰奖励制度、综合管理全县表彰奖励工作，承担评比达标表彰和县级表彰等工作，承办以县委、县人民政府名义开展的县级表彰奖励活动。</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（九）会同有关部门拟订农民工工作综合性政策和规划，协调解决重点难点问题，维护农民工合法权益。</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（十一）受理人力资源和社会保障方面的信访事项，拟订信访维稳工作预案；会同有关部门协调处理有关劳动、人事方面的信访事件或突发事件。</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（十二）完成县委、县人民政府交办的其他任务。</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人力资源和社会保障局单位无下属预算单位，下设7个处室，分别是：办公室、就业促进与职业能力建设科（网络管理科）、事业管理科、工资福利退休科（工资改革领导小组办公室）、社会保险科、劳动关系科（调解仲裁科）、劳动保障监察科（社会保险基金监督科）</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托克逊县人力资源和社会保障局单位编制数25，实有人数34人，其中：在职21人，增加7人；退休13人，增加3人；离休0人，增加0人。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2807.85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2749.35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1095.35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1654.00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3250.98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24.99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58.50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58.50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518.99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518.99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518.99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40.87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3326.84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3326.84</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3250.98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2673.49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1029.49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1644.00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58.50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518.99</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人力资源和社会保障管理事务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1025.10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966.60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966.60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58.50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625.10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566.60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566.60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58.50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其他人力资源和社会保障管理事务支出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62.89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62.89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62.89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11.75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11.75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11.75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51.14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51.14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51.14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就业补助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2162.99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1644.00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1644.00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518.99</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职业培训补贴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136.23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136.23</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社会保险补贴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1115.95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1053.50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1053.50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62.45</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公益性岗位补贴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590.90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485.10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485.10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105.80</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职业技能鉴定补贴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41.90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41.90</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就业见习补贴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242.01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91.40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91.40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150.61</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促进创业补贴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其他就业补助支出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6.00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22.00</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24.99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24.99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24.99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24.99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21.72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21.72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21.72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3.27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3.27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3.27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40.87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40.87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40.87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40.87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40.87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40.87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3326.84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2749.35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1095.35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1654.00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58.50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518.99</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编制单位：托克逊县人力资源和社会保障局</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3250.98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629.49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2621.49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人力资源和社会保障管理事务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1025.10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566.60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458.50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625.10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566.60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58.50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其他人力资源和社会保障管理事务支出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400.00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62.89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62.89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51.14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51.14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就业补助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2162.99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2162.99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职业培训补贴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136.23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136.23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社会保险补贴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1115.95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1115.95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公益性岗位补贴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590.90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590.90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职业技能鉴定补贴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41.90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41.90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就业见习补贴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242.01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242.01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促进创业补贴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其他就业补助支出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24.99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24.99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24.99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24.99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21.72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21.72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40.87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40.87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40.87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40.87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40.87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40.87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3326.84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695.35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2631.49</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2749.35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2749.35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2673.49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2673.49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24.99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24.99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10.00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10.00</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40.87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40.87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2749.35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2749.35</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2749.35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2673.49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629.49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2044.00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人力资源和社会保障管理事务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966.60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566.60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566.60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566.60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其他人力资源和社会保障管理事务支出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62.89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62.89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51.14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51.14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就业补助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1644.00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1644.00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社会保险补贴</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1053.50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1053.50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公益性岗位补贴</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485.10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485.10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就业见习补贴</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91.40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91.40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促进创业补贴</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其他就业补助支出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2749.35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695.35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2054.00</w:t>
            </w: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628.58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628.58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94.18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94.18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79.32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79.32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64.27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64.27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16.63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16.63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51.14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51.14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21.72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21.72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40.87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40.87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255.76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255.76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55.02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55.02</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7.55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7.55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20.15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20.15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1.83</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6.19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6.19</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11.75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11.75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11.75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11.75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695.35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640.33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55.02</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社会保障和就业支出</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2044.00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400.00</w:t>
            </w:r>
          </w:p>
        </w:tc>
        <w:tc>
          <w:tcPr>
            <w:tcW w:w="67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1644.00</w:t>
            </w: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01</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人力资源和社会保障管理事务</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400.00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400.00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2024年吐鲁番托克逊县公共实训基地运行费用</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40.00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40.00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2024年南疆籍务工人员食宿点费用</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30.00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30.00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2024年吐鲁番托克逊县公共实训基地建设项目费用</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320.00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320.00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其他人力资源和社会保障管理事务支出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2024年托克逊县第三届职业技能大赛费用</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07</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就业补助</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1644.00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1644.00</w:t>
            </w: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社会保险补贴</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吐市财社[2023]60号2024年中央就业专项资金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1053.50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1053.50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公益性岗位补贴</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吐市财社[2023]60号2024年中央就业专项资金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485.10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485.10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就业见习补贴</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吐市财社[2023]60号2024年中央就业专项资金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91.40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91.40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13</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促进创业补贴</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吐市财社[2023]60号2024年中央就业专项资金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8.00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8.00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其他就业补助支出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吐市财社[2023]60号2024年中央就业专项资金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6.00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6.00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213</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农林水支出</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213</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05</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巩固脱贫攻坚成果衔接乡村振兴</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213</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其他巩固脱贫攻坚成果衔接乡村振兴支出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2024年中央衔接资金跨省务工人员交通补助吐市财振[2023]9号</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213</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其他巩固脱贫攻坚成果衔接乡村振兴支出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2024年自治区衔接资金省内务工人员交通补助吐市财振[2023]11号</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7.00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7.00</w:t>
            </w: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2054.00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400.00</w:t>
            </w:r>
          </w:p>
        </w:tc>
        <w:tc>
          <w:tcPr>
            <w:tcW w:w="67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1654.00</w:t>
            </w: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备注：托克逊县人力资源和社会保障局2024年没有使用政府性基金预算拨款安排的支出，政府性基金预算支出情况表为空表。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备注：托克逊县人力资源和社会保障局2024年没有使用国有资本经营预算拨款安排的支出，国有资本经营预算支出情况表为空表。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编制单位：托克逊县人力资源和社会保障局</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518.99</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518.99</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518.99</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2022年自治区就业专项资金</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11.00</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11.00</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11.00</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中央2021年就业补助资金</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136.23</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136.23</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136.23</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就业补助资金</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11.00</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11.00</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11.00</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吐市财社[2023]28号中央就业专项资金（第二批）</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360.76</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360.76</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360.76</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关于托克逊县人力资源和社会保障局单位2024年收支预算情况的总体说明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按照全口径预算的原则，托克逊县人力资源和社会保障局单位2024年所有收入和支出均纳入单位预算管理。收支总预算3326.84万元。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支出预算包括：社会保障和就业支出、卫生健康支出、农林水支出、住房保障支出。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二、关于托克逊县人力资源和社会保障局单位2024年收入预算情况说明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托克逊县人力资源和社会保障局单位收入预算3326.84万元，其中：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1095.35万元，占32.92%，比上年预算增加215.02万元，增长24.42%，主要原因是增加2024年吐鲁番托克逊县公共实训基地运行费用、2024年南疆籍务工人员食宿点费用、2024年吐鲁番托克逊县公共实训基地建设项目费用、2024年托克逊县第三届职业技能大赛费用，导致预算较上年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上级一般公共预算安排的转移支付1654.00万元，占49.72%，比上年预算减少170.50万元，下降9.35%，主要原因是本单位2024年中央就业专项资金</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单位资金58.50万元，占1.76%，比上年预算减少12.00万元，下降17.02%，主要原因是2024年年初单位结余资金利息收入较少，因此预算较上年减少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财政拨款结转518.99万元，占15.60%，比上年预算增加327.09万元，增长170.45%，主要原因是本单位结转中央就业专项资金</w:t>
      </w:r>
      <w:r>
        <w:rPr>
          <w:rFonts w:hint="eastAsia" w:ascii="仿宋_GB2312" w:hAnsi="宋体" w:eastAsia="仿宋_GB2312" w:cs="宋体"/>
          <w:color w:val="auto"/>
          <w:kern w:val="0"/>
          <w:sz w:val="32"/>
          <w:szCs w:val="32"/>
          <w:lang w:eastAsia="zh-CN"/>
        </w:rPr>
        <w:t>、中央2021年就业补助资金，</w:t>
      </w:r>
      <w:r>
        <w:rPr>
          <w:rFonts w:hint="eastAsia" w:ascii="仿宋_GB2312" w:hAnsi="宋体" w:eastAsia="仿宋_GB2312" w:cs="宋体"/>
          <w:color w:val="auto"/>
          <w:kern w:val="0"/>
          <w:sz w:val="32"/>
          <w:szCs w:val="32"/>
        </w:rPr>
        <w:t>导致较上年增加</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三、关于托克逊县人力资源和社会保障局单位2024年支出预算情况说明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托克逊县人力资源和社会保障局单位2024年支出预算3326.84万元，其中：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基本支出695.35万元，占20.90%，比上年预算减少124.98万元，下降15.24%，主要原因是村卫生清洁员和公益性岗位财政补助资金上年预算时使用主款支出，本年预算时纳入人员类项目支出，导致基本支出预算减少。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2631.49万元，占79.10%，比上年预算增加484.59万元，增长22.57%，主要原因是2024年吐鲁番托克逊县公共实训基地运行费用、2024年南疆籍务工人员食宿点费用、2024年吐鲁番托克逊县公共实训基地建设项目费用、2024年托克逊县第三届职业技能大赛费用</w:t>
      </w:r>
      <w:r>
        <w:rPr>
          <w:rFonts w:hint="eastAsia" w:ascii="仿宋_GB2312" w:hAnsi="宋体" w:eastAsia="仿宋_GB2312" w:cs="宋体"/>
          <w:color w:val="auto"/>
          <w:kern w:val="0"/>
          <w:sz w:val="32"/>
          <w:szCs w:val="32"/>
          <w:lang w:val="en-US" w:eastAsia="zh-CN"/>
        </w:rPr>
        <w:t>项目等增加</w:t>
      </w:r>
      <w:r>
        <w:rPr>
          <w:rFonts w:hint="eastAsia" w:ascii="仿宋_GB2312" w:hAnsi="宋体" w:eastAsia="仿宋_GB2312" w:cs="宋体"/>
          <w:color w:val="auto"/>
          <w:kern w:val="0"/>
          <w:sz w:val="32"/>
          <w:szCs w:val="32"/>
        </w:rPr>
        <w:t>，导致项目支出预算增加。</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四、关于托克逊县人力资源和社会保障局单位2024年财政拨款收支预算情况的总体说明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2024年财政拨款收支总预算2749.35万元。</w:t>
      </w:r>
    </w:p>
    <w:p>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收入预算包括：一般公共预算拨款2749.35万元。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2673.49万元，主要用于保障单位正常运行的人员经费、公用经费支出及单位人员社保缴费支出;卫生健康支出24.99万元，主要用于单位人员医疗保险缴费支出;农林水支出10.00万元，主要用于保障单位正常运行的人员经费、公用经费支出;住房保障支出40.87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五、关于托克逊县人力资源和社会保障局单位2024年一般公共预算当年拨款情况说明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托克逊县人力资源和社会保障局单位2024年一般公共预算拨款合计2749.35万元，其中：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基本支出695.35万元，比上年预算减少124.98万元，下降15.24%。主要原因是：村卫生清洁员和公益性岗位财政补助资金上年预算时使用主款支出，本年预算时纳入人员类项目支出，导致基本支出预算减少。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2054.00万元，比上年预算增加169.50万元，增长8.99%。主要原因是：村卫生清洁员和公益性岗位财政补助资金上年预算时使用主款支出，本年预算时纳入人员类项目支出，县级项目增加实训基地、工程款级运转费用增加，导致项目支出预算增加。</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1.社会保障和就业支出（类）2673.49万元，占97.24%。</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2.卫生健康支出（类）24.99万元，占0.91%。</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3.农林水支出（类）10.00万元，占0.36%。</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4.住房保障支出（类）40.87万元，占1.49%。</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人力资源和社会保障管理事务（款）行政运行（项）：2024年预算数为566.60万元，比上年预算减少110.72万元，下降16.35%，主要原因是：村卫生清洁员和公益性岗位财政补助资金上年预算时使用主款支出，本年预算时纳入人员类项目支出，导致基本支出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2.社会保障和就业支出（类）人力资源和社会保障管理事务（款）其他人力资源和社会保障管理事务支出（项）：2024年预算数为400.00万元，比上年预算增加340.00万元，增长566.67%，主要原因是：</w:t>
      </w:r>
      <w:r>
        <w:rPr>
          <w:rFonts w:hint="eastAsia" w:ascii="仿宋_GB2312" w:hAnsi="宋体" w:eastAsia="仿宋_GB2312" w:cs="宋体"/>
          <w:color w:val="auto"/>
          <w:kern w:val="0"/>
          <w:sz w:val="32"/>
          <w:szCs w:val="32"/>
          <w:lang w:val="en-US" w:eastAsia="zh-CN"/>
        </w:rPr>
        <w:t>增加</w:t>
      </w:r>
      <w:r>
        <w:rPr>
          <w:rFonts w:hint="eastAsia" w:ascii="仿宋_GB2312" w:hAnsi="宋体" w:eastAsia="仿宋_GB2312" w:cs="宋体"/>
          <w:color w:val="auto"/>
          <w:kern w:val="0"/>
          <w:sz w:val="32"/>
          <w:szCs w:val="32"/>
        </w:rPr>
        <w:t>2024年吐鲁番托克逊县公共实训基地运行费用、2024年南疆籍务工人员食宿点费用、2024年吐鲁番托克逊县公共实训基地建设项目费用、2024年托克逊县第三届职业技能大赛费用，导致其他人力资源和社会保障管理事务支出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行政事业单位养老支出（款）行政单位离退休（项）：2024年预算数为11.75万元，比上年预算增加2.29万元，增长24.21%，主要原因是：增加退休人员3人，本年退休人员全年绩效奖上调导致预算较上年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社会保障和就业支出（类）行政事业单位养老支出（款）机关事业单位基本养老保险缴费支出（项）：2024年预算数为51.14万元，比上年预算增加3.27万元，增长6.83%，主要原因是：地方编增加4人，事业增加2人，参公增加1人，本年工资调增，</w:t>
      </w:r>
      <w:r>
        <w:rPr>
          <w:rFonts w:hint="eastAsia" w:ascii="仿宋_GB2312" w:hAnsi="宋体" w:eastAsia="仿宋_GB2312" w:cs="宋体"/>
          <w:color w:val="auto"/>
          <w:kern w:val="0"/>
          <w:sz w:val="32"/>
          <w:szCs w:val="32"/>
          <w:lang w:val="en-US" w:eastAsia="zh-CN"/>
        </w:rPr>
        <w:t>养老</w:t>
      </w:r>
      <w:r>
        <w:rPr>
          <w:rFonts w:hint="eastAsia" w:ascii="仿宋_GB2312" w:hAnsi="宋体" w:eastAsia="仿宋_GB2312" w:cs="宋体"/>
          <w:color w:val="auto"/>
          <w:kern w:val="0"/>
          <w:sz w:val="32"/>
          <w:szCs w:val="32"/>
        </w:rPr>
        <w:t>基数上调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导致机关事业单位基本养老保险缴费支出比上年度预算增加。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5.社会保障和就业支出（类）就业补助（款）社会保险补贴（项）：2024年预算数为1053.50万元，比上年预算增加1053.50万元，增长100.00%，主要原因是：本年新增社会保险补贴支出，导致该款项预算增加。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6.社会保障和就业支出（类）就业补助（款）公益性岗位补贴（项）：2024年预算数为485.10万元，比上年预算增加485.10万元，增长100.00%，主要原因是：本年新增公益性岗位补贴支出，导致该款项预算增加。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7.社会保障和就业支出（类）就业补助（款）就业见习补贴（项）：2024年预算数为91.40万元，比上年预算增加91.40万元，增长100.00%，主要原因是：本年新增就业见习补贴支出，导致该款项预算增加。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社会保障和就业支出（类）就业补助（款）促进创业补贴（项）：2024年预算数为8.00万元，比上年预算增加8.00万元，增长100.00%，主要原因是：上年预算时就业专项资金全部列入其他就业补助支出（项），本年预算时纳入促进创业补贴（项），导致该款项预算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社会保障和就业支出（类）就业补助（款）其他就业补助支出（项）：2024年预算数为6.00万元，比上年预算减少1818.50万元，下降99.67%，主要原因是：本年其他就业补助支出科目部分预算调整至（促进创业补贴、就业见习补贴、公益性岗位补贴、社会保险补贴），因此预算较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卫生健康支出（类）行政事业单位医疗（款）行政单位医疗（项）：2024年预算数为21.72万元，比上年预算增加1.41万元，增长6.94%，主要原因是：地方编增加4人，事业增加2人，参公增加1人，本年工资调资，医疗基数上调，导致该款项支出比上年度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11.卫生健康支出（类）行政事业单位医疗（款）公务员医疗补助（项）：2024年预算数为3.27万元，比上年预算减少0.43万元，下降11.62%，主要原因是：本年调出人员职级较高，新进人员职级较低，公务员医疗补助减少，导致公务员退休医疗补助比上年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农林水支出（类）巩固脱贫攻坚成果衔接乡村振兴（款）其他巩固脱贫攻坚成果衔接乡村振兴支出（项）：2024年预算数为10.00万元，比上年预算增加10.00万元，增长100.00%，主要原因是：本年新增巩固脱贫攻坚成果衔接乡村振兴项目，导致预算比上年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13.住房保障支出（类）住房改革支出（款）住房公积金（项）：2024年预算数为40.87万元，比上年预算增加3.13万元，增长8.29%，主要原因是：地方编增加4人，事业增加2人，参公增加1人，本年工资调资，公积金基数上调，导致该款项支出比上年度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14.社会保障和就业支出（类）行政事业单位养老支出（款）机关事业单位职业年金缴费支出（项）：2024年预算数为0.00万元，比上年预算减少23.93万元，下降100.00%，主要原因是：本年度职业年金预算由政府（财政）预算代列，未直接体现在部门预算里，导致本单位该项预算减少。</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六、关于托克逊县人力资源和社会保障局单位2024年一般公共预算基本支出情况说明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托克逊县人力资源和社会保障局单位2024年一般公共预算基本支出695.35万元，其中：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640.33万元，主要包括：基本工资、津贴补贴、奖金、绩效工资、机关事业单位基本养老保险缴费、职工基本医疗保险缴费、公务员医疗补助缴费、其他社会保障缴费、住房公积金、其他工资福利支出、退休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公用经费55.02万元，主要包括：办公费、印刷费、电费、邮电费、取暖费、物业管理费、差旅费、维修（护）费、工会经费、公务用车运行维护费、其他商品和服务支出。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七、关于托克逊县人力资源和社会保障局单位2024年一般公共预算项目支出情况说明</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（一）项目名称：2024年吐鲁番托克逊县公共实训基地运行费用</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w:t>
      </w:r>
      <w:r>
        <w:rPr>
          <w:rFonts w:hint="eastAsia" w:ascii="仿宋_GB2312" w:hAnsi="黑体" w:eastAsia="仿宋_GB2312"/>
          <w:color w:val="auto"/>
          <w:sz w:val="32"/>
          <w:szCs w:val="32"/>
        </w:rPr>
        <w:t>360</w:t>
      </w:r>
      <w:r>
        <w:rPr>
          <w:rFonts w:ascii="仿宋_GB2312" w:hAnsi="黑体" w:eastAsia="仿宋_GB2312"/>
          <w:color w:val="auto"/>
          <w:sz w:val="32"/>
          <w:szCs w:val="32"/>
        </w:rPr>
        <w:t>.00万元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项目承担单位：托克逊县人力资源和社会保障局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资金分配情况：实训基地维修维护费10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万元，水费10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万元，电费15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万元，其他商品和服务支出5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r>
        <w:rPr>
          <w:rFonts w:hint="eastAsia" w:ascii="仿宋_GB2312" w:hAnsi="黑体" w:eastAsia="仿宋_GB2312"/>
          <w:color w:val="auto"/>
          <w:sz w:val="32"/>
          <w:szCs w:val="32"/>
        </w:rPr>
        <w:t>，</w:t>
      </w:r>
      <w:r>
        <w:rPr>
          <w:rFonts w:ascii="仿宋_GB2312" w:hAnsi="黑体" w:eastAsia="仿宋_GB2312"/>
          <w:color w:val="auto"/>
          <w:sz w:val="32"/>
          <w:szCs w:val="32"/>
        </w:rPr>
        <w:t>实训基地建设工程费用320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（二）项目名称：2024年南疆籍务工人员食宿点费用</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自治区党委统一工作部署，做好南疆四地州城乡富余劳动力有组织转移就业多渠道转移就业，促进就业增收脱贫，维护社会稳定。我县接受有组织转移南疆籍务工人员，其中公益性岗位人员与南疆领队全部安置在园区公租房集中食宿，各项费用由县财政承担。根据县上安排，由人社局具体负责南疆籍务工人员的食堂运行管理。为进一步做好南疆籍务工人员服务管理工作，使务工人员在我县安心工作。统一分配至托克逊县就业安置的有喀什、和田、阿图什等地的贫困务工人员。减轻南疆籍务工人员的生活负担，政府给南疆籍务工人员提供免费食宿，让他们安心工作，提升工作质量并稳定就业，推动解决南疆籍困难群体就业问题，促进就业，提高南疆籍贫困人员的收入，争取早日脱贫。</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预算安排规模：30.00万元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项目承担单位：托克逊县人力资源和社会保障局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资金分配情况：南疆籍务工人员食宿点伙食费支出21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万元、南疆籍务工人员食宿点水费支出3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万元、南疆籍务工人员食宿点电费支出3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万元、南疆籍务工人员食宿点维修费支出3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w:t>
      </w:r>
      <w:r>
        <w:rPr>
          <w:rFonts w:hint="eastAsia" w:ascii="仿宋_GB2312" w:hAnsi="黑体" w:eastAsia="仿宋_GB2312"/>
          <w:color w:val="auto"/>
          <w:sz w:val="32"/>
          <w:szCs w:val="32"/>
        </w:rPr>
        <w:t>三</w:t>
      </w:r>
      <w:r>
        <w:rPr>
          <w:rFonts w:ascii="仿宋_GB2312" w:hAnsi="黑体" w:eastAsia="仿宋_GB2312"/>
          <w:color w:val="auto"/>
          <w:sz w:val="32"/>
          <w:szCs w:val="32"/>
        </w:rPr>
        <w:t>）项目名称：2024年托克逊县第三届职业技能大赛费用</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自治区第三届职业技能大赛将于2024年6月份在新疆喀什举办，吐鲁番市将从各区县选拔优秀选手组成代表团参赛，为确保我县选派出的参赛选手表现出良好的精神面貌和竞技水平，计划于2024年上半年举办托克逊县第三届职业技能竞赛暨自治区第三届职业技能大赛托克逊县初赛，根据初赛结果将选派成绩优异选手代表我县参加吐鲁番市及自治区第三届职业技能大赛。</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预算安排规模：10.00万元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项目承担单位：托克逊县人力资源和社会保障局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资金分配情况：发放职业技能大赛补贴费用10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w:t>
      </w:r>
      <w:r>
        <w:rPr>
          <w:rFonts w:hint="eastAsia" w:ascii="仿宋_GB2312" w:hAnsi="黑体" w:eastAsia="仿宋_GB2312"/>
          <w:color w:val="auto"/>
          <w:sz w:val="32"/>
          <w:szCs w:val="32"/>
        </w:rPr>
        <w:t>四</w:t>
      </w:r>
      <w:r>
        <w:rPr>
          <w:rFonts w:ascii="仿宋_GB2312" w:hAnsi="黑体" w:eastAsia="仿宋_GB2312"/>
          <w:color w:val="auto"/>
          <w:sz w:val="32"/>
          <w:szCs w:val="32"/>
        </w:rPr>
        <w:t>）项目名称：吐市财社[2023]60号2024年中央就业专项资金</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吐市财社[2023]60号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预算安排规模：1644.00万元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项目承担单位：托克逊县人力资源和社会保障局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资金分配情况：公益性岗位补贴485.1</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万元；社会保险补贴1053.5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万元；见习岗位91.4</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万元；就业促进补贴8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万元（求职创业补贴7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万元，创业补贴1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万元）；其他就业补助支出6</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万元（就业援助金）</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w:t>
      </w:r>
      <w:r>
        <w:rPr>
          <w:rFonts w:hint="eastAsia" w:ascii="仿宋_GB2312" w:hAnsi="黑体" w:eastAsia="仿宋_GB2312"/>
          <w:color w:val="auto"/>
          <w:sz w:val="32"/>
          <w:szCs w:val="32"/>
        </w:rPr>
        <w:t>五</w:t>
      </w:r>
      <w:r>
        <w:rPr>
          <w:rFonts w:ascii="仿宋_GB2312" w:hAnsi="黑体" w:eastAsia="仿宋_GB2312"/>
          <w:color w:val="auto"/>
          <w:sz w:val="32"/>
          <w:szCs w:val="32"/>
        </w:rPr>
        <w:t>）项目名称：2024年中央衔接资金跨省务工人员交通补助吐市财振[2023]9号</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设立的政策依据：按照《新疆维吾尔自治区巩固拓展脱贫攻坚成果同乡村振兴项目入库指南（试行）》（新乡振发〔2022〕35号）文件要求</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预算安排规模：3.00万元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项目承担单位：托克逊县人力资源和社会保障局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资金分配情况：计划为跨省外务工人员（脱贫户及监测帮扶对象）进行交通补助；项目总投资3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w:t>
      </w:r>
      <w:r>
        <w:rPr>
          <w:rFonts w:hint="eastAsia" w:ascii="仿宋_GB2312" w:hAnsi="黑体" w:eastAsia="仿宋_GB2312"/>
          <w:color w:val="auto"/>
          <w:sz w:val="32"/>
          <w:szCs w:val="32"/>
        </w:rPr>
        <w:t>六</w:t>
      </w:r>
      <w:r>
        <w:rPr>
          <w:rFonts w:ascii="仿宋_GB2312" w:hAnsi="黑体" w:eastAsia="仿宋_GB2312"/>
          <w:color w:val="auto"/>
          <w:sz w:val="32"/>
          <w:szCs w:val="32"/>
        </w:rPr>
        <w:t>）项目名称：2024年自治区衔接资金省内务工人员交通补助吐市财振[2023]11号</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设立的政策依据：按照《新疆维吾尔自治区巩固拓展脱贫攻坚成果同乡村振兴项目入库指南（试行）》（新乡振发〔2022〕35号）文件要求</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预算安排规模：7.00万元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项目承担单位：托克逊县人力资源和社会保障局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资金分配情况：计划为省内县外务工人员（脱贫户及监测帮扶对象）进行交通补助；项目总投资7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八、关于托克逊县人力资源和社会保障局单位2024年政府性基金预算拨款情况说明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九、关于托克逊县人力资源和社会保障局单位2024年国有资本经营预算拨款情况说明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十、关于托克逊县人力资源和社会保障局单位2024年财政拨款“三公”经费预算情况说明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托克逊县人力资源和社会保障局单位2024年财政拨款“三公”经费数为6.00万元，其中：因公出国（境）费0.00万元，公务用车购置费0.00万元，公务用车运行费6.00万元，公务接待费0.00万元。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3.00万元，增长100.00%，其中：因公出国（境）费减少0.00万元，下降0.00%，主要原因是2023与2024年均未安排因公出国(境)费；公务用车购置费减少0.00万元，下降0.00%，主要原因2023年与2024年均未安排公务用车购置费；公务用车运行费增加3.00万元，增长100.00%，主要原因是我县根据实际用车成本2024年调整公务用车标准，由原先的1</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万元每车每年调整为2</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万元每车每年，因此公务用车运行费增长；公务接待费减少0.00万元，下降0.00%，主要原因是2023年与2024年均未安排公务接待费。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十一、关于托克逊县人力资源和社会保障局单位2024年上年结转结余预算情况说明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托克逊县人力资源和社会保障局单位2024年上年结转结余518.99万元，包括：财政拨款518.99万元，非财政拨款0.00万元，其中：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1、2022年自治区就业专项资金11.00万元，主要用于：以奖代补资金，主要用于从事劳务输出工作的劳务输出机构在劳务输出过程中所发生的相关费用支出。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2、中央2021年就业补助资金136.23万元，主要用于：职业技能培训补贴。</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3、就业补助资金11.00万元，主要用于：以奖代补资金，主要用于从事劳务输出工作的劳务输出机构在劳务输出过程中所发生的相关费用支出。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4、吐市财社[2023]28号中央就业专项资金（第二批）360.76万元，主要用于：灵活就业人员、自主创业人员以及企业吸纳就业人员社会保险补贴。</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单位2024年的机关运行经费财政拨款预算55.02万元，比上年预算减少4.87万元，下降8.13%。主要原因是为贯彻落实政府过紧日子思想，压缩日常公用经费，因此机关运行经费财政拨款预算减少。</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2024年，托克逊县人力资源和社会保障局单位政府采购预算20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万元，其中：政府采购货物预算20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2024年，托克逊县人力资源和社会保障局单位面向中小企业预留政府采购项目预算金额2.37万元，小微企业预留政府采购项目预算金额2.37万元。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截至2023年底，托克逊县人力资源和社会保障局单位及下属各预算单位占用使用国有资产总体情况为：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1.房屋5741.37平方米，价值1533.19万元。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2.车辆3辆，价值38.29万元；其中：一般公务用车0辆，价值0万元；执法执勤用车0辆，价值0万元；其他车辆3辆，价值38.29万元。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3.办公家具价值148.48万元。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3326.84</w:t>
      </w:r>
      <w:r>
        <w:rPr>
          <w:rFonts w:hint="eastAsia" w:ascii="仿宋_GB2312" w:hAnsi="宋体" w:eastAsia="仿宋_GB2312" w:cs="宋体"/>
          <w:color w:val="auto"/>
          <w:kern w:val="0"/>
          <w:sz w:val="32"/>
          <w:szCs w:val="32"/>
        </w:rPr>
        <w:t>万元；当年财政拨款项目6个，涉及预算金额</w:t>
      </w:r>
      <w:r>
        <w:rPr>
          <w:rFonts w:ascii="仿宋_GB2312" w:hAnsi="宋体" w:eastAsia="仿宋_GB2312" w:cs="宋体"/>
          <w:color w:val="auto"/>
          <w:kern w:val="0"/>
          <w:sz w:val="32"/>
          <w:szCs w:val="32"/>
        </w:rPr>
        <w:t>2054</w:t>
      </w:r>
      <w:r>
        <w:rPr>
          <w:rFonts w:hint="eastAsia" w:ascii="仿宋_GB2312" w:hAnsi="宋体" w:eastAsia="仿宋_GB2312" w:cs="宋体"/>
          <w:color w:val="auto"/>
          <w:kern w:val="0"/>
          <w:sz w:val="32"/>
          <w:szCs w:val="32"/>
        </w:rPr>
        <w:t>.00万元；当年非财政拨款项目1个，涉及预算金额</w:t>
      </w:r>
      <w:r>
        <w:rPr>
          <w:rFonts w:ascii="仿宋_GB2312" w:hAnsi="宋体" w:eastAsia="仿宋_GB2312" w:cs="宋体"/>
          <w:color w:val="auto"/>
          <w:kern w:val="0"/>
          <w:sz w:val="32"/>
          <w:szCs w:val="32"/>
        </w:rPr>
        <w:t>58.5</w:t>
      </w:r>
      <w:r>
        <w:rPr>
          <w:rFonts w:hint="eastAsia" w:ascii="仿宋_GB2312" w:hAnsi="宋体" w:eastAsia="仿宋_GB2312" w:cs="宋体"/>
          <w:color w:val="auto"/>
          <w:kern w:val="0"/>
          <w:sz w:val="32"/>
          <w:szCs w:val="32"/>
        </w:rPr>
        <w:t>0万元。具体情况见下表：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19" w:type="dxa"/>
        <w:jc w:val="center"/>
        <w:tblLayout w:type="autofit"/>
        <w:tblCellMar>
          <w:top w:w="0" w:type="dxa"/>
          <w:left w:w="108" w:type="dxa"/>
          <w:bottom w:w="0" w:type="dxa"/>
          <w:right w:w="108" w:type="dxa"/>
        </w:tblCellMar>
      </w:tblPr>
      <w:tblGrid>
        <w:gridCol w:w="1020"/>
        <w:gridCol w:w="1296"/>
        <w:gridCol w:w="2381"/>
        <w:gridCol w:w="1247"/>
        <w:gridCol w:w="1927"/>
        <w:gridCol w:w="1848"/>
      </w:tblGrid>
      <w:tr>
        <w:tblPrEx>
          <w:tblCellMar>
            <w:top w:w="0" w:type="dxa"/>
            <w:left w:w="108" w:type="dxa"/>
            <w:bottom w:w="0" w:type="dxa"/>
            <w:right w:w="108" w:type="dxa"/>
          </w:tblCellMar>
        </w:tblPrEx>
        <w:trPr>
          <w:trHeight w:val="907" w:hRule="atLeast"/>
          <w:jc w:val="center"/>
        </w:trPr>
        <w:tc>
          <w:tcPr>
            <w:tcW w:w="9719"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506" w:hRule="atLeast"/>
          <w:jc w:val="center"/>
        </w:trPr>
        <w:tc>
          <w:tcPr>
            <w:tcW w:w="9719"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75" w:hRule="atLeast"/>
          <w:jc w:val="center"/>
        </w:trPr>
        <w:tc>
          <w:tcPr>
            <w:tcW w:w="2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40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托克逊县人力资源和社会保障局</w:t>
            </w:r>
          </w:p>
        </w:tc>
      </w:tr>
      <w:tr>
        <w:tblPrEx>
          <w:tblCellMar>
            <w:top w:w="0" w:type="dxa"/>
            <w:left w:w="108" w:type="dxa"/>
            <w:bottom w:w="0" w:type="dxa"/>
            <w:right w:w="108" w:type="dxa"/>
          </w:tblCellMar>
        </w:tblPrEx>
        <w:trPr>
          <w:trHeight w:val="675" w:hRule="atLeast"/>
          <w:jc w:val="center"/>
        </w:trPr>
        <w:tc>
          <w:tcPr>
            <w:tcW w:w="231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6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夏衣买尔旦</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09958819935</w:t>
            </w:r>
          </w:p>
        </w:tc>
      </w:tr>
      <w:tr>
        <w:tblPrEx>
          <w:tblCellMar>
            <w:top w:w="0" w:type="dxa"/>
            <w:left w:w="108" w:type="dxa"/>
            <w:bottom w:w="0" w:type="dxa"/>
            <w:right w:w="108" w:type="dxa"/>
          </w:tblCellMar>
        </w:tblPrEx>
        <w:trPr>
          <w:trHeight w:val="3438" w:hRule="atLeast"/>
          <w:jc w:val="center"/>
        </w:trPr>
        <w:tc>
          <w:tcPr>
            <w:tcW w:w="2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403"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目标1：强化党建引领，保障人社事业高质量发展，千方百计稳就业保就业；</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目标2：审核办理事业单位工作人员工资福利待遇、工作人员流动调配及一般干部退休审批，切实落实行政事业单位人员变动及福利待遇情况；</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目标3：受理人事劳动争议仲裁、信访、劳动用工备案、集体合同审查、不定时工作制和综合计算工时工作制审批，全面提升解决劳动者的劳动仲裁及提高合同合法率；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目标4：进行劳动保障执法年审、受理投诉劳动用工及缴纳社会保险、农民工工资拖欠等公共服务，保障劳动者的合法权益；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目标5：完成保障支付南疆籍务工人员食宿点各项费用任务，提升务工人员归属感及经济收入；</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做好全县就业培训工作目标任务，提升全县参训人员就业率；目标7：审核办理全县企业及行政事业单位工作人员的工伤认定，灵活就业人员及企业退休人员核实档案信息并退休审核及上报提前退休材料等，推动劳动者积极缴纳社保，享受养老待遇及工伤保险报销等。</w:t>
            </w:r>
          </w:p>
        </w:tc>
      </w:tr>
      <w:tr>
        <w:tblPrEx>
          <w:tblCellMar>
            <w:top w:w="0" w:type="dxa"/>
            <w:left w:w="108" w:type="dxa"/>
            <w:bottom w:w="0" w:type="dxa"/>
            <w:right w:w="108" w:type="dxa"/>
          </w:tblCellMar>
        </w:tblPrEx>
        <w:trPr>
          <w:trHeight w:val="632" w:hRule="atLeast"/>
          <w:jc w:val="center"/>
        </w:trPr>
        <w:tc>
          <w:tcPr>
            <w:tcW w:w="23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6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64" w:hRule="atLeast"/>
          <w:jc w:val="center"/>
        </w:trPr>
        <w:tc>
          <w:tcPr>
            <w:tcW w:w="23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238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7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2162.99</w:t>
            </w:r>
          </w:p>
        </w:tc>
      </w:tr>
      <w:tr>
        <w:tblPrEx>
          <w:tblCellMar>
            <w:top w:w="0" w:type="dxa"/>
            <w:left w:w="108" w:type="dxa"/>
            <w:bottom w:w="0" w:type="dxa"/>
            <w:right w:w="108" w:type="dxa"/>
          </w:tblCellMar>
        </w:tblPrEx>
        <w:trPr>
          <w:trHeight w:val="506" w:hRule="atLeast"/>
          <w:jc w:val="center"/>
        </w:trPr>
        <w:tc>
          <w:tcPr>
            <w:tcW w:w="23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238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7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1105.35</w:t>
            </w:r>
          </w:p>
        </w:tc>
      </w:tr>
      <w:tr>
        <w:tblPrEx>
          <w:tblCellMar>
            <w:top w:w="0" w:type="dxa"/>
            <w:left w:w="108" w:type="dxa"/>
            <w:bottom w:w="0" w:type="dxa"/>
            <w:right w:w="108" w:type="dxa"/>
          </w:tblCellMar>
        </w:tblPrEx>
        <w:trPr>
          <w:trHeight w:val="506" w:hRule="atLeast"/>
          <w:jc w:val="center"/>
        </w:trPr>
        <w:tc>
          <w:tcPr>
            <w:tcW w:w="23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7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58.50</w:t>
            </w:r>
          </w:p>
        </w:tc>
      </w:tr>
      <w:tr>
        <w:tblPrEx>
          <w:tblCellMar>
            <w:top w:w="0" w:type="dxa"/>
            <w:left w:w="108" w:type="dxa"/>
            <w:bottom w:w="0" w:type="dxa"/>
            <w:right w:w="108" w:type="dxa"/>
          </w:tblCellMar>
        </w:tblPrEx>
        <w:trPr>
          <w:trHeight w:val="569"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506"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开展各类职业技能培训人数</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&gt;=6100人</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2024年重点工作计划</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olor w:val="auto"/>
                <w:sz w:val="18"/>
                <w:szCs w:val="18"/>
              </w:rPr>
              <w:t>15</w:t>
            </w:r>
          </w:p>
        </w:tc>
      </w:tr>
      <w:tr>
        <w:tblPrEx>
          <w:tblCellMar>
            <w:top w:w="0" w:type="dxa"/>
            <w:left w:w="108" w:type="dxa"/>
            <w:bottom w:w="0" w:type="dxa"/>
            <w:right w:w="108" w:type="dxa"/>
          </w:tblCellMar>
        </w:tblPrEx>
        <w:trPr>
          <w:trHeight w:val="506"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农村劳动力外出务工人次</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&gt;=1.35万人次</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2024年重点工作计划</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olor w:val="auto"/>
                <w:sz w:val="18"/>
                <w:szCs w:val="18"/>
              </w:rPr>
              <w:t>15</w:t>
            </w:r>
          </w:p>
        </w:tc>
      </w:tr>
      <w:tr>
        <w:tblPrEx>
          <w:tblCellMar>
            <w:top w:w="0" w:type="dxa"/>
            <w:left w:w="108" w:type="dxa"/>
            <w:bottom w:w="0" w:type="dxa"/>
            <w:right w:w="108" w:type="dxa"/>
          </w:tblCellMar>
        </w:tblPrEx>
        <w:trPr>
          <w:trHeight w:val="506"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劳动法宣传覆盖人数</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&gt;=1000人</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2024年重点工作计划</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olor w:val="auto"/>
                <w:sz w:val="18"/>
                <w:szCs w:val="18"/>
              </w:rPr>
              <w:t>15</w:t>
            </w:r>
          </w:p>
        </w:tc>
      </w:tr>
      <w:tr>
        <w:tblPrEx>
          <w:tblCellMar>
            <w:top w:w="0" w:type="dxa"/>
            <w:left w:w="108" w:type="dxa"/>
            <w:bottom w:w="0" w:type="dxa"/>
            <w:right w:w="108" w:type="dxa"/>
          </w:tblCellMar>
        </w:tblPrEx>
        <w:trPr>
          <w:trHeight w:val="569"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全县事业编干部人事档案专项审核数量</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&gt;=1767个</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2024年重点工作计划</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olor w:val="auto"/>
                <w:sz w:val="18"/>
                <w:szCs w:val="18"/>
              </w:rPr>
              <w:t>15</w:t>
            </w:r>
          </w:p>
        </w:tc>
      </w:tr>
      <w:tr>
        <w:tblPrEx>
          <w:tblCellMar>
            <w:top w:w="0" w:type="dxa"/>
            <w:left w:w="108" w:type="dxa"/>
            <w:bottom w:w="0" w:type="dxa"/>
            <w:right w:w="108" w:type="dxa"/>
          </w:tblCellMar>
        </w:tblPrEx>
        <w:trPr>
          <w:trHeight w:val="506" w:hRule="atLeast"/>
          <w:jc w:val="center"/>
        </w:trPr>
        <w:tc>
          <w:tcPr>
            <w:tcW w:w="10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城镇就业困难人员实现就业人数</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&gt;=100人</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2024年重点工作计划</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olor w:val="auto"/>
                <w:sz w:val="18"/>
                <w:szCs w:val="18"/>
              </w:rPr>
              <w:t>15</w:t>
            </w:r>
          </w:p>
        </w:tc>
      </w:tr>
      <w:tr>
        <w:tblPrEx>
          <w:tblCellMar>
            <w:top w:w="0" w:type="dxa"/>
            <w:left w:w="108" w:type="dxa"/>
            <w:bottom w:w="0" w:type="dxa"/>
            <w:right w:w="108" w:type="dxa"/>
          </w:tblCellMar>
        </w:tblPrEx>
        <w:trPr>
          <w:trHeight w:val="506" w:hRule="atLeast"/>
          <w:jc w:val="center"/>
        </w:trPr>
        <w:tc>
          <w:tcPr>
            <w:tcW w:w="102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实现城镇新增就业人数</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&gt;=2000人</w:t>
            </w:r>
          </w:p>
        </w:tc>
        <w:tc>
          <w:tcPr>
            <w:tcW w:w="19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2024年重点工作计划</w:t>
            </w:r>
          </w:p>
        </w:tc>
        <w:tc>
          <w:tcPr>
            <w:tcW w:w="1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olor w:val="auto"/>
                <w:sz w:val="18"/>
                <w:szCs w:val="18"/>
              </w:rPr>
              <w:t>15</w:t>
            </w:r>
          </w:p>
        </w:tc>
      </w:tr>
    </w:tbl>
    <w:p>
      <w:pPr>
        <w:rPr>
          <w:color w:val="auto"/>
        </w:rPr>
      </w:pPr>
    </w:p>
    <w:p>
      <w:pPr>
        <w:widowControl/>
        <w:jc w:val="left"/>
        <w:rPr>
          <w:color w:val="auto"/>
        </w:rPr>
      </w:pPr>
      <w:r>
        <w:rPr>
          <w:color w:val="auto"/>
        </w:rPr>
        <w:br w:type="page"/>
      </w:r>
    </w:p>
    <w:tbl>
      <w:tblPr>
        <w:tblStyle w:val="4"/>
        <w:tblW w:w="10680" w:type="dxa"/>
        <w:jc w:val="center"/>
        <w:tblLayout w:type="autofit"/>
        <w:tblCellMar>
          <w:top w:w="0" w:type="dxa"/>
          <w:left w:w="108" w:type="dxa"/>
          <w:bottom w:w="0" w:type="dxa"/>
          <w:right w:w="108" w:type="dxa"/>
        </w:tblCellMar>
      </w:tblPr>
      <w:tblGrid>
        <w:gridCol w:w="740"/>
        <w:gridCol w:w="1340"/>
        <w:gridCol w:w="1980"/>
        <w:gridCol w:w="1540"/>
        <w:gridCol w:w="1100"/>
        <w:gridCol w:w="940"/>
        <w:gridCol w:w="920"/>
        <w:gridCol w:w="1000"/>
        <w:gridCol w:w="1120"/>
      </w:tblGrid>
      <w:tr>
        <w:tblPrEx>
          <w:tblCellMar>
            <w:top w:w="0" w:type="dxa"/>
            <w:left w:w="108" w:type="dxa"/>
            <w:bottom w:w="0" w:type="dxa"/>
            <w:right w:w="108" w:type="dxa"/>
          </w:tblCellMar>
        </w:tblPrEx>
        <w:trPr>
          <w:trHeight w:val="350" w:hRule="atLeast"/>
          <w:jc w:val="center"/>
        </w:trPr>
        <w:tc>
          <w:tcPr>
            <w:tcW w:w="1068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68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95"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6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托克逊县人力资源和社会保障局</w:t>
            </w:r>
          </w:p>
        </w:tc>
      </w:tr>
      <w:tr>
        <w:tblPrEx>
          <w:tblCellMar>
            <w:top w:w="0" w:type="dxa"/>
            <w:left w:w="108" w:type="dxa"/>
            <w:bottom w:w="0" w:type="dxa"/>
            <w:right w:w="108" w:type="dxa"/>
          </w:tblCellMar>
        </w:tblPrEx>
        <w:trPr>
          <w:trHeight w:val="561"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62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吐鲁番市托克逊县公共实训基地建设项目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雷鹏</w:t>
            </w:r>
          </w:p>
        </w:tc>
      </w:tr>
      <w:tr>
        <w:tblPrEx>
          <w:tblCellMar>
            <w:top w:w="0" w:type="dxa"/>
            <w:left w:w="108" w:type="dxa"/>
            <w:bottom w:w="0" w:type="dxa"/>
            <w:right w:w="108" w:type="dxa"/>
          </w:tblCellMar>
        </w:tblPrEx>
        <w:trPr>
          <w:trHeight w:val="5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360.00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360.00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60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目标1：公共实训基地建设项目已基本完工，2024年完成项目验收工作和结算审计工作，按规定序时支付320万元工程款，确保项目工程质量，提高财政资金使用效率；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目标2：2024年下半年公共实训基地正式投入使用，通过做好水电暖等基础设施的维护，保障各项实训工作正常开展，提升职业技能培训工作社会影响力，促进劳动力市场的平衡和优化。</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w:t>
            </w:r>
            <w:r>
              <w:rPr>
                <w:rFonts w:hint="eastAsia" w:ascii="宋体" w:hAnsi="宋体" w:cs="宋体"/>
                <w:b/>
                <w:bCs/>
                <w:color w:val="auto"/>
                <w:kern w:val="0"/>
                <w:sz w:val="18"/>
                <w:szCs w:val="18"/>
              </w:rPr>
              <w:br w:type="textWrapping"/>
            </w:r>
            <w:r>
              <w:rPr>
                <w:rFonts w:hint="eastAsia" w:ascii="宋体" w:hAnsi="宋体" w:cs="宋体"/>
                <w:b/>
                <w:bCs/>
                <w:color w:val="auto"/>
                <w:kern w:val="0"/>
                <w:sz w:val="18"/>
                <w:szCs w:val="18"/>
              </w:rPr>
              <w:t>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指标</w:t>
            </w:r>
          </w:p>
        </w:tc>
        <w:tc>
          <w:tcPr>
            <w:tcW w:w="1340"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公共实训基地运转维护面积</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≥8000平方米</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项目结算审计工作完成率</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公共实训基地投入使用时间</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2024年6月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支付公共实训基地建设项目工程尾款</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≤320万元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公共实训基地运转维护费用</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≤40万元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提升职业技能培训工作社会影响力</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显著提升</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促进劳动力市场的平衡和优化</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rPr>
          <w:color w:val="auto"/>
        </w:rPr>
      </w:pPr>
    </w:p>
    <w:p>
      <w:pPr>
        <w:widowControl/>
        <w:jc w:val="left"/>
        <w:rPr>
          <w:color w:val="auto"/>
        </w:rPr>
      </w:pPr>
      <w:r>
        <w:rPr>
          <w:color w:val="auto"/>
        </w:rPr>
        <w:br w:type="page"/>
      </w:r>
    </w:p>
    <w:tbl>
      <w:tblPr>
        <w:tblStyle w:val="4"/>
        <w:tblW w:w="10192" w:type="dxa"/>
        <w:jc w:val="center"/>
        <w:tblLayout w:type="autofit"/>
        <w:tblCellMar>
          <w:top w:w="0" w:type="dxa"/>
          <w:left w:w="108" w:type="dxa"/>
          <w:bottom w:w="0" w:type="dxa"/>
          <w:right w:w="108" w:type="dxa"/>
        </w:tblCellMar>
      </w:tblPr>
      <w:tblGrid>
        <w:gridCol w:w="876"/>
        <w:gridCol w:w="1297"/>
        <w:gridCol w:w="2156"/>
        <w:gridCol w:w="1150"/>
        <w:gridCol w:w="1090"/>
        <w:gridCol w:w="791"/>
        <w:gridCol w:w="775"/>
        <w:gridCol w:w="1111"/>
        <w:gridCol w:w="946"/>
      </w:tblGrid>
      <w:tr>
        <w:tblPrEx>
          <w:tblCellMar>
            <w:top w:w="0" w:type="dxa"/>
            <w:left w:w="108" w:type="dxa"/>
            <w:bottom w:w="0" w:type="dxa"/>
            <w:right w:w="108" w:type="dxa"/>
          </w:tblCellMar>
        </w:tblPrEx>
        <w:trPr>
          <w:trHeight w:val="440" w:hRule="atLeast"/>
          <w:jc w:val="center"/>
        </w:trPr>
        <w:tc>
          <w:tcPr>
            <w:tcW w:w="10192"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32"/>
                <w:szCs w:val="32"/>
              </w:rPr>
            </w:pPr>
            <w:r>
              <w:rPr>
                <w:rFonts w:hint="eastAsia" w:ascii="仿宋_GB2312" w:hAnsi="宋体" w:eastAsia="仿宋_GB2312" w:cs="仿宋_GB2312"/>
                <w:b/>
                <w:color w:val="auto"/>
                <w:kern w:val="0"/>
                <w:sz w:val="32"/>
                <w:szCs w:val="32"/>
                <w:lang w:bidi="ar"/>
              </w:rPr>
              <w:t>项目支出绩效目标表</w:t>
            </w:r>
          </w:p>
        </w:tc>
      </w:tr>
      <w:tr>
        <w:trPr>
          <w:trHeight w:val="314" w:hRule="atLeast"/>
          <w:jc w:val="center"/>
        </w:trPr>
        <w:tc>
          <w:tcPr>
            <w:tcW w:w="10192"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24"/>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24"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1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托克逊县人力资源和社会保障局</w:t>
            </w:r>
          </w:p>
        </w:tc>
      </w:tr>
      <w:tr>
        <w:tblPrEx>
          <w:tblCellMar>
            <w:top w:w="0" w:type="dxa"/>
            <w:left w:w="108" w:type="dxa"/>
            <w:bottom w:w="0" w:type="dxa"/>
            <w:right w:w="108" w:type="dxa"/>
          </w:tblCellMar>
        </w:tblPrEx>
        <w:trPr>
          <w:trHeight w:val="628"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9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2024年托克逊县第三届职业技能大赛费用</w:t>
            </w:r>
          </w:p>
        </w:tc>
        <w:tc>
          <w:tcPr>
            <w:tcW w:w="156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5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雷鹏</w:t>
            </w:r>
          </w:p>
        </w:tc>
      </w:tr>
      <w:tr>
        <w:tblPrEx>
          <w:tblCellMar>
            <w:top w:w="0" w:type="dxa"/>
            <w:left w:w="108" w:type="dxa"/>
            <w:bottom w:w="0" w:type="dxa"/>
            <w:right w:w="108" w:type="dxa"/>
          </w:tblCellMar>
        </w:tblPrEx>
        <w:trPr>
          <w:trHeight w:val="545"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05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034"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1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托克逊县第三届职业技能大赛计划赛项8个，具体包括中式烹调、中式面点、电工、美发、汽车维修、客房服务、酒店管理等，通过组织不少于72名参赛人员参与大赛，达到提高参赛人员职业技能水平和素质，激发参赛选手的学习热情和创新能力，提高社会对职业技能人才的认识和重视，促进职业技能人才的发展和壮大的目标。</w:t>
            </w:r>
          </w:p>
        </w:tc>
      </w:tr>
      <w:tr>
        <w:tblPrEx>
          <w:tblCellMar>
            <w:top w:w="0" w:type="dxa"/>
            <w:left w:w="108" w:type="dxa"/>
            <w:bottom w:w="0" w:type="dxa"/>
            <w:right w:w="108" w:type="dxa"/>
          </w:tblCellMar>
        </w:tblPrEx>
        <w:trPr>
          <w:trHeight w:val="545" w:hRule="atLeast"/>
          <w:jc w:val="center"/>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45" w:hRule="atLeast"/>
          <w:jc w:val="center"/>
        </w:trPr>
        <w:tc>
          <w:tcPr>
            <w:tcW w:w="8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297"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职业技能大赛赛项数</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≥8项</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61" w:hRule="atLeast"/>
          <w:jc w:val="center"/>
        </w:trPr>
        <w:tc>
          <w:tcPr>
            <w:tcW w:w="8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97"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职业技能大赛参与人数</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≥72人</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9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组织竞赛流程合规率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97"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职业技能大赛完成率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大赛开展时间</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2024年上半年</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45" w:hRule="atLeast"/>
          <w:jc w:val="center"/>
        </w:trPr>
        <w:tc>
          <w:tcPr>
            <w:tcW w:w="8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29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职业技能大赛举办费</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≤9万元</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2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职业技能大赛裁判费</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≤1万元</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45" w:hRule="atLeast"/>
          <w:jc w:val="center"/>
        </w:trPr>
        <w:tc>
          <w:tcPr>
            <w:tcW w:w="87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29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促进技能人才培养</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有效促进</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2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推动各行业的技能水平和素质的提高</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效果显著</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45" w:hRule="atLeast"/>
          <w:jc w:val="center"/>
        </w:trPr>
        <w:tc>
          <w:tcPr>
            <w:tcW w:w="8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1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参赛人员满意度</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9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rPr>
          <w:color w:val="auto"/>
        </w:rPr>
      </w:pPr>
    </w:p>
    <w:p>
      <w:pPr>
        <w:widowControl/>
        <w:jc w:val="left"/>
        <w:rPr>
          <w:color w:val="auto"/>
        </w:rPr>
      </w:pPr>
      <w:r>
        <w:rPr>
          <w:color w:val="auto"/>
        </w:rPr>
        <w:br w:type="page"/>
      </w:r>
    </w:p>
    <w:tbl>
      <w:tblPr>
        <w:tblStyle w:val="4"/>
        <w:tblW w:w="10280" w:type="dxa"/>
        <w:jc w:val="center"/>
        <w:tblLayout w:type="autofit"/>
        <w:tblCellMar>
          <w:top w:w="0" w:type="dxa"/>
          <w:left w:w="108" w:type="dxa"/>
          <w:bottom w:w="0" w:type="dxa"/>
          <w:right w:w="108" w:type="dxa"/>
        </w:tblCellMar>
      </w:tblPr>
      <w:tblGrid>
        <w:gridCol w:w="740"/>
        <w:gridCol w:w="1340"/>
        <w:gridCol w:w="1980"/>
        <w:gridCol w:w="1060"/>
        <w:gridCol w:w="1100"/>
        <w:gridCol w:w="1020"/>
        <w:gridCol w:w="920"/>
        <w:gridCol w:w="1000"/>
        <w:gridCol w:w="1120"/>
      </w:tblGrid>
      <w:tr>
        <w:tblPrEx>
          <w:tblCellMar>
            <w:top w:w="0" w:type="dxa"/>
            <w:left w:w="108" w:type="dxa"/>
            <w:bottom w:w="0" w:type="dxa"/>
            <w:right w:w="108" w:type="dxa"/>
          </w:tblCellMar>
        </w:tblPrEx>
        <w:trPr>
          <w:trHeight w:val="440" w:hRule="atLeast"/>
          <w:jc w:val="center"/>
        </w:trPr>
        <w:tc>
          <w:tcPr>
            <w:tcW w:w="1028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28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托克逊县人力资源和社会保障局</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2024年南疆籍务工人员食宿点费用</w:t>
            </w:r>
          </w:p>
        </w:tc>
        <w:tc>
          <w:tcPr>
            <w:tcW w:w="19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李荣</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0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1.通过保障50名南疆籍困难群体就业问题，政府给南疆籍务工人员提供免费食宿，有效减轻南疆籍务工人员的生活负担，提升工作质量并稳定就业。</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2.保障食宿点的食品质量、保障水电正常使用，让南疆籍务工人员安心工作。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3.全年计划对食宿点房屋设施进行维修5次，保障各项设施正常使用。</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南疆籍务工人员数量</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=50人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180人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南疆籍务工人员食宿点维修次数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≥5次</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食宿点食品质量合格率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资金规范管理使用率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保障经费发放到位及时率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项目按时完成率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南疆籍务工人员食宿点伙食费支出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&lt;=21万元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52.13万元</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南疆籍务工人员食宿点水费支出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&lt;=3万元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南疆籍务工人员食宿点电费支出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&lt;=3万元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南疆籍务工人员食宿点维修费支出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&lt;=3万元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5.4万元</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务工人员基本生活质量</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提高务工人员的归属感</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完全实现</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南疆籍务工人员满意度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&gt;=90%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rPr>
          <w:color w:val="auto"/>
        </w:rPr>
      </w:pPr>
    </w:p>
    <w:p>
      <w:pPr>
        <w:widowControl/>
        <w:jc w:val="left"/>
        <w:rPr>
          <w:rFonts w:ascii="楷体_GB2312" w:hAnsi="宋体" w:eastAsia="楷体_GB2312" w:cs="宋体"/>
          <w:b/>
          <w:color w:val="auto"/>
          <w:kern w:val="0"/>
          <w:sz w:val="32"/>
          <w:szCs w:val="32"/>
        </w:rPr>
      </w:pPr>
      <w:r>
        <w:rPr>
          <w:color w:val="auto"/>
        </w:rPr>
        <w:br w:type="page"/>
      </w:r>
    </w:p>
    <w:tbl>
      <w:tblPr>
        <w:tblStyle w:val="4"/>
        <w:tblW w:w="10370" w:type="dxa"/>
        <w:jc w:val="center"/>
        <w:tblLayout w:type="autofit"/>
        <w:tblCellMar>
          <w:top w:w="0" w:type="dxa"/>
          <w:left w:w="108" w:type="dxa"/>
          <w:bottom w:w="0" w:type="dxa"/>
          <w:right w:w="108" w:type="dxa"/>
        </w:tblCellMar>
      </w:tblPr>
      <w:tblGrid>
        <w:gridCol w:w="952"/>
        <w:gridCol w:w="1066"/>
        <w:gridCol w:w="1695"/>
        <w:gridCol w:w="1086"/>
        <w:gridCol w:w="1372"/>
        <w:gridCol w:w="802"/>
        <w:gridCol w:w="800"/>
        <w:gridCol w:w="1163"/>
        <w:gridCol w:w="1434"/>
      </w:tblGrid>
      <w:tr>
        <w:tblPrEx>
          <w:tblCellMar>
            <w:top w:w="0" w:type="dxa"/>
            <w:left w:w="108" w:type="dxa"/>
            <w:bottom w:w="0" w:type="dxa"/>
            <w:right w:w="108" w:type="dxa"/>
          </w:tblCellMar>
        </w:tblPrEx>
        <w:trPr>
          <w:trHeight w:val="435" w:hRule="atLeast"/>
          <w:jc w:val="center"/>
        </w:trPr>
        <w:tc>
          <w:tcPr>
            <w:tcW w:w="1037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11" w:hRule="atLeast"/>
          <w:jc w:val="center"/>
        </w:trPr>
        <w:tc>
          <w:tcPr>
            <w:tcW w:w="1037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79"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5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托克逊县人力资源和社会保障局</w:t>
            </w:r>
          </w:p>
        </w:tc>
      </w:tr>
      <w:tr>
        <w:tblPrEx>
          <w:tblCellMar>
            <w:top w:w="0" w:type="dxa"/>
            <w:left w:w="108" w:type="dxa"/>
            <w:bottom w:w="0" w:type="dxa"/>
            <w:right w:w="108" w:type="dxa"/>
          </w:tblCellMar>
        </w:tblPrEx>
        <w:trPr>
          <w:trHeight w:val="568"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95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19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42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夏衣买尔旦</w:t>
            </w:r>
          </w:p>
        </w:tc>
      </w:tr>
      <w:tr>
        <w:tblPrEx>
          <w:tblCellMar>
            <w:top w:w="0" w:type="dxa"/>
            <w:left w:w="108" w:type="dxa"/>
            <w:bottom w:w="0" w:type="dxa"/>
            <w:right w:w="108" w:type="dxa"/>
          </w:tblCellMar>
        </w:tblPrEx>
        <w:trPr>
          <w:trHeight w:val="311"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58.50</w:t>
            </w:r>
          </w:p>
        </w:tc>
        <w:tc>
          <w:tcPr>
            <w:tcW w:w="137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1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58.50</w:t>
            </w:r>
          </w:p>
        </w:tc>
      </w:tr>
      <w:tr>
        <w:tblPrEx>
          <w:tblCellMar>
            <w:top w:w="0" w:type="dxa"/>
            <w:left w:w="108" w:type="dxa"/>
            <w:bottom w:w="0" w:type="dxa"/>
            <w:right w:w="108" w:type="dxa"/>
          </w:tblCellMar>
        </w:tblPrEx>
        <w:trPr>
          <w:trHeight w:val="1037"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5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目标1：通过组织开展各类职业技能培训6100人次，帮助100余名城镇就业困难人员实现就业；</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目标2：通过组织农村劳动力外出务工，实现城镇新增就业人数达到2000余人，新增创业人数320余人。</w:t>
            </w:r>
          </w:p>
        </w:tc>
      </w:tr>
      <w:tr>
        <w:tblPrEx>
          <w:tblCellMar>
            <w:top w:w="0" w:type="dxa"/>
            <w:left w:w="108" w:type="dxa"/>
            <w:bottom w:w="0" w:type="dxa"/>
            <w:right w:w="108" w:type="dxa"/>
          </w:tblCellMar>
        </w:tblPrEx>
        <w:trPr>
          <w:trHeight w:val="539"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6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15" w:hRule="atLeast"/>
          <w:jc w:val="center"/>
        </w:trPr>
        <w:tc>
          <w:tcPr>
            <w:tcW w:w="9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开展各类职业技能培训人数</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&gt;=6100人</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劳动法宣传覆盖人数</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&gt;=1000人</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农村劳动力外出务工人次</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&gt;=1.35万人</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组织开展各类职业技能培训</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&gt;=15次</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资金支付程序合规率</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职业技能培训工作按时完成率</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综合业务办公费支出</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&lt;=48.5万元</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培训费支出</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&lt;=10万元</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15" w:hRule="atLeast"/>
          <w:jc w:val="center"/>
        </w:trPr>
        <w:tc>
          <w:tcPr>
            <w:tcW w:w="9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城镇就业困难人员实现就业人数</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&gt;=100人</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实现城镇新增就业人数</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&gt;=2000人</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新增创业人数</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&gt;=320人</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15"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69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参训人员满意度</w:t>
            </w: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3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1.本次未公开项目支出绩效目标表共有</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个，其中：上级转移支付项目</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个，涉及预算金额1654.00万元、绩效目标表完全不予公开。</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托克逊县人力资源和社会保障局</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B5411"/>
    <w:rsid w:val="001578F4"/>
    <w:rsid w:val="00254F5A"/>
    <w:rsid w:val="00291850"/>
    <w:rsid w:val="005675D9"/>
    <w:rsid w:val="006545CA"/>
    <w:rsid w:val="006C2990"/>
    <w:rsid w:val="00897832"/>
    <w:rsid w:val="00954F49"/>
    <w:rsid w:val="00A836C6"/>
    <w:rsid w:val="00B61395"/>
    <w:rsid w:val="00BA2AC3"/>
    <w:rsid w:val="00C02361"/>
    <w:rsid w:val="00C87096"/>
    <w:rsid w:val="00CA3E9A"/>
    <w:rsid w:val="00CD51D6"/>
    <w:rsid w:val="00D11993"/>
    <w:rsid w:val="00EB7862"/>
    <w:rsid w:val="37232270"/>
    <w:rsid w:val="3DDC7F8B"/>
    <w:rsid w:val="4DA6303E"/>
    <w:rsid w:val="597B0C00"/>
    <w:rsid w:val="6B9351F7"/>
    <w:rsid w:val="7135469B"/>
    <w:rsid w:val="7A964224"/>
    <w:rsid w:val="7CDF65FA"/>
    <w:rsid w:val="7DF1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2828</Words>
  <Characters>3374</Characters>
  <Lines>174</Lines>
  <Paragraphs>49</Paragraphs>
  <TotalTime>5</TotalTime>
  <ScaleCrop>false</ScaleCrop>
  <LinksUpToDate>false</LinksUpToDate>
  <CharactersWithSpaces>3456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BD84EEA319984AB089D15C1B9B4D2FA5_13</vt:lpwstr>
  </property>
  <property fmtid="{D5CDD505-2E9C-101B-9397-08002B2CF9AE}" pid="4" name="KSOTemplateDocerSaveRecord">
    <vt:lpwstr>eyJoZGlkIjoiMTcwMGY5N2M4YzI3ODdkZTMzOGFhZTcwMTk4MTdlMjAiLCJ1c2VySWQiOiI0OTQ1NzM3OTEifQ==</vt:lpwstr>
  </property>
</Properties>
</file>